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app.xml" Type="http://schemas.openxmlformats.org/officeDocument/2006/relationships/extended-properties"/>
<Relationship Id="rId3" Target="docProps/custom.xml" Type="http://schemas.openxmlformats.org/officeDocument/2006/relationships/custom-properties"/>
<Relationship Id="rId4" Target="docProps/core.xml" Type="http://schemas.openxmlformats.org/package/2006/relationships/metadata/core-properties"/>
</Relationships>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rPr/>
        <w:sectPr>
          <w:headerReference r:id="rId6" w:type="default"/>
          <w:footerReference r:id="rId7" w:type="default"/>
          <w:footerReference r:id="rId8" w:type="even"/>
          <w:pgSz w:h="16838" w:w="11906" w:orient="portrait"/>
          <w:pgMar w:bottom="0" w:top="0" w:left="0" w:right="0" w:header="567" w:footer="493"/>
          <w:pgNumType w:start="1"/>
          <w:titlePg w:val="1"/>
        </w:sectPr>
      </w:pPr>
      <w:bookmarkStart w:colFirst="0" w:colLast="0" w:name="_gjdgxs" w:id="0"/>
      <w:bookmarkEnd w:id="0"/>
      <w:r w:rsidDel="00000000" w:rsidR="00000000" w:rsidRPr="00000000">
        <w:rPr/>
        <w:drawing>
          <wp:inline distB="0" distT="0" distL="0" distR="0">
            <wp:extent cx="7559999" cy="10687645"/>
            <wp:effectExtent b="0" l="0" r="0" t="0"/>
            <wp:docPr id="20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999" cy="106876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4572000</wp:posOffset>
                </wp:positionH>
                <wp:positionV relativeFrom="paragraph">
                  <wp:posOffset>4610100</wp:posOffset>
                </wp:positionV>
                <wp:extent cx="1872347" cy="24447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09825" y="3657750"/>
                          <a:ext cx="1872347" cy="244475"/>
                          <a:chOff x="4409825" y="3657750"/>
                          <a:chExt cx="1872350" cy="244500"/>
                        </a:xfrm>
                      </wpg:grpSpPr>
                      <wpg:grpSp>
                        <wpg:cNvGrpSpPr/>
                        <wpg:grpSpPr>
                          <a:xfrm>
                            <a:off x="4409827" y="3657763"/>
                            <a:ext cx="1872347" cy="244475"/>
                            <a:chOff x="0" y="0"/>
                            <a:chExt cx="1877085" cy="24082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877075" cy="24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493480" cy="2408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531620" y="83820"/>
                              <a:ext cx="78740" cy="78740"/>
                            </a:xfrm>
                            <a:prstGeom prst="ellipse">
                              <a:avLst/>
                            </a:prstGeom>
                            <a:solidFill>
                              <a:srgbClr val="EA6C7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615440" y="0"/>
                              <a:ext cx="261645" cy="2408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4572000</wp:posOffset>
                </wp:positionH>
                <wp:positionV relativeFrom="paragraph">
                  <wp:posOffset>4610100</wp:posOffset>
                </wp:positionV>
                <wp:extent cx="1872347" cy="244475"/>
                <wp:effectExtent b="0" l="0" r="0" t="0"/>
                <wp:wrapNone/>
                <wp:docPr id="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2347" cy="24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6184900</wp:posOffset>
                </wp:positionV>
                <wp:extent cx="6884670" cy="253706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1908428" y="2516230"/>
                          <a:ext cx="6875145" cy="252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120" w:line="264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Rounded" w:cs="Arial Rounded" w:eastAsia="Arial Rounded" w:hAnsi="Arial Rounded"/>
                                <w:b w:val="1"/>
                                <w:i w:val="0"/>
                                <w:smallCaps w:val="0"/>
                                <w:strike w:val="0"/>
                                <w:color w:val="ea6c71"/>
                                <w:sz w:val="25"/>
                                <w:vertAlign w:val="baseline"/>
                              </w:rPr>
                              <w:t xml:space="preserve">Instituto de Salud Carlos III (ISCIII)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Rounded" w:cs="Arial Rounded" w:eastAsia="Arial Rounded" w:hAnsi="Arial Rounded"/>
                                <w:b w:val="1"/>
                                <w:i w:val="0"/>
                                <w:smallCaps w:val="0"/>
                                <w:strike w:val="0"/>
                                <w:color w:val="ea6c71"/>
                                <w:sz w:val="2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Rounded" w:cs="Arial Rounded" w:eastAsia="Arial Rounded" w:hAnsi="Arial Rounded"/>
                                <w:b w:val="1"/>
                                <w:i w:val="0"/>
                                <w:smallCaps w:val="0"/>
                                <w:strike w:val="0"/>
                                <w:color w:val="44546a"/>
                                <w:sz w:val="36"/>
                                <w:vertAlign w:val="baseline"/>
                              </w:rPr>
                              <w:t xml:space="preserve">Contratación para el desarrollo de las páginas web del ISCIII de acuerdo al Plan de Transformación digital del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Rounded" w:cs="Arial Rounded" w:eastAsia="Arial Rounded" w:hAnsi="Arial Rounded"/>
                                <w:b w:val="1"/>
                                <w:i w:val="0"/>
                                <w:smallCaps w:val="0"/>
                                <w:strike w:val="0"/>
                                <w:color w:val="44546a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Rounded" w:cs="Arial Rounded" w:eastAsia="Arial Rounded" w:hAnsi="Arial Rounded"/>
                                <w:b w:val="1"/>
                                <w:i w:val="0"/>
                                <w:smallCaps w:val="0"/>
                                <w:strike w:val="0"/>
                                <w:color w:val="44546a"/>
                                <w:sz w:val="36"/>
                                <w:vertAlign w:val="baseline"/>
                              </w:rPr>
                              <w:t xml:space="preserve">ISCIII, en el marco del Plan de Recuperación, Transformación y Resiliencia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Rounded" w:cs="Arial Rounded" w:eastAsia="Arial Rounded" w:hAnsi="Arial Rounded"/>
                                <w:b w:val="1"/>
                                <w:i w:val="0"/>
                                <w:smallCaps w:val="0"/>
                                <w:strike w:val="0"/>
                                <w:color w:val="44546a"/>
                                <w:sz w:val="36"/>
                                <w:highlight w:val="yellow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6184900</wp:posOffset>
                </wp:positionV>
                <wp:extent cx="6884670" cy="2537065"/>
                <wp:effectExtent b="0" l="0" r="0" t="0"/>
                <wp:wrapNone/>
                <wp:docPr id="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4670" cy="2537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428625</wp:posOffset>
            </wp:positionH>
            <wp:positionV relativeFrom="paragraph">
              <wp:posOffset>9715500</wp:posOffset>
            </wp:positionV>
            <wp:extent cx="2428875" cy="742950"/>
            <wp:effectExtent b="0" l="0" r="0" t="0"/>
            <wp:wrapNone/>
            <wp:docPr id="9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742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color w:val="006b89"/>
          <w:sz w:val="32"/>
          <w:szCs w:val="32"/>
        </w:rPr>
      </w:pPr>
      <w:r w:rsidDel="00000000" w:rsidR="00000000" w:rsidRPr="00000000">
        <w:rPr>
          <w:color w:val="006b89"/>
          <w:sz w:val="32"/>
          <w:szCs w:val="32"/>
          <w:rtl w:val="0"/>
        </w:rPr>
        <w:t xml:space="preserve">Publicadores de carpetas en Liferay.</w:t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En Liferay existen publicadores de contenidos, en los cuales puedes elegir que contenidos deseas mostrar, y para mostrar archivos hemos desarrollado dos de estos publicadores.</w:t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color w:val="006b89"/>
          <w:sz w:val="32"/>
          <w:szCs w:val="32"/>
        </w:rPr>
      </w:pPr>
      <w:r w:rsidDel="00000000" w:rsidR="00000000" w:rsidRPr="00000000">
        <w:rPr>
          <w:color w:val="006b89"/>
          <w:sz w:val="32"/>
          <w:szCs w:val="32"/>
          <w:rtl w:val="0"/>
        </w:rPr>
        <w:t xml:space="preserve">Publicador de carpetas común.</w:t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En este publicador de carpetas se mostrarán de la siguiente forma los archivos</w:t>
      </w:r>
    </w:p>
    <w:p w:rsidR="00000000" w:rsidDel="00000000" w:rsidP="00000000" w:rsidRDefault="00000000" w:rsidRPr="00000000" w14:paraId="0000000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color w:val="006b89"/>
          <w:sz w:val="26"/>
          <w:szCs w:val="26"/>
        </w:rPr>
      </w:pPr>
      <w:r w:rsidDel="00000000" w:rsidR="00000000" w:rsidRPr="00000000">
        <w:rPr>
          <w:color w:val="006b89"/>
          <w:sz w:val="26"/>
          <w:szCs w:val="26"/>
        </w:rPr>
        <w:drawing>
          <wp:inline distB="114300" distT="114300" distL="114300" distR="114300">
            <wp:extent cx="6430963" cy="438051"/>
            <wp:effectExtent b="12700" l="12700" r="12700" t="12700"/>
            <wp:docPr id="1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30963" cy="438051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color w:val="006b89"/>
          <w:sz w:val="26"/>
          <w:szCs w:val="26"/>
        </w:rPr>
      </w:pPr>
      <w:r w:rsidDel="00000000" w:rsidR="00000000" w:rsidRPr="00000000">
        <w:rPr>
          <w:color w:val="006b89"/>
          <w:sz w:val="26"/>
          <w:szCs w:val="26"/>
        </w:rPr>
        <w:drawing>
          <wp:inline distB="114300" distT="114300" distL="114300" distR="114300">
            <wp:extent cx="6450013" cy="1308698"/>
            <wp:effectExtent b="12700" l="12700" r="12700" t="12700"/>
            <wp:docPr id="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0013" cy="1308698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Siendo 2023 el nombre de una carpeta y los recuadros el contenido de un archivo (Título, Descripción, Extensión, Tamaño y Enlace de descarga).</w:t>
      </w:r>
    </w:p>
    <w:p w:rsidR="00000000" w:rsidDel="00000000" w:rsidP="00000000" w:rsidRDefault="00000000" w:rsidRPr="00000000" w14:paraId="0000000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1"/>
        <w:spacing w:after="0" w:before="240" w:line="259" w:lineRule="auto"/>
        <w:jc w:val="left"/>
        <w:rPr>
          <w:color w:val="006b89"/>
          <w:sz w:val="32"/>
          <w:szCs w:val="32"/>
        </w:rPr>
      </w:pPr>
      <w:r w:rsidDel="00000000" w:rsidR="00000000" w:rsidRPr="00000000">
        <w:rPr>
          <w:color w:val="006b89"/>
          <w:sz w:val="32"/>
          <w:szCs w:val="32"/>
          <w:rtl w:val="0"/>
        </w:rPr>
        <w:t xml:space="preserve">Publicador de carpetas por descripción.</w:t>
      </w:r>
    </w:p>
    <w:p w:rsidR="00000000" w:rsidDel="00000000" w:rsidP="00000000" w:rsidRDefault="00000000" w:rsidRPr="00000000" w14:paraId="0000000C">
      <w:pPr>
        <w:keepNext w:val="1"/>
        <w:keepLines w:val="1"/>
        <w:spacing w:after="0" w:before="240" w:line="259" w:lineRule="auto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Este publicador está pensado para aquellos archivos que necesitan de un mayor contexto, por lo que su descripción es muy larga y más relevante que el propio título, como es el caso de los Convenios.</w:t>
      </w:r>
    </w:p>
    <w:p w:rsidR="00000000" w:rsidDel="00000000" w:rsidP="00000000" w:rsidRDefault="00000000" w:rsidRPr="00000000" w14:paraId="0000000D">
      <w:pPr>
        <w:keepNext w:val="1"/>
        <w:keepLines w:val="1"/>
        <w:spacing w:after="0" w:before="240" w:line="259" w:lineRule="auto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</w:rPr>
        <w:drawing>
          <wp:inline distB="114300" distT="114300" distL="114300" distR="114300">
            <wp:extent cx="6401098" cy="1249231"/>
            <wp:effectExtent b="12700" l="12700" r="12700" t="12700"/>
            <wp:docPr id="1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1098" cy="1249231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1"/>
        <w:spacing w:after="0" w:before="240" w:line="259" w:lineRule="auto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Es muy similar al anterior, pero este carece de título y aprovecha ese espacio para la descripción.</w:t>
      </w:r>
    </w:p>
    <w:p w:rsidR="00000000" w:rsidDel="00000000" w:rsidP="00000000" w:rsidRDefault="00000000" w:rsidRPr="00000000" w14:paraId="0000000F">
      <w:pPr>
        <w:keepNext w:val="1"/>
        <w:keepLines w:val="1"/>
        <w:spacing w:after="0" w:before="240" w:line="259" w:lineRule="auto"/>
        <w:jc w:val="left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1"/>
        <w:spacing w:after="0" w:before="240" w:line="259" w:lineRule="auto"/>
        <w:jc w:val="lef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Cómo configurar un publicador de carpetas.</w:t>
      </w:r>
    </w:p>
    <w:p w:rsidR="00000000" w:rsidDel="00000000" w:rsidP="00000000" w:rsidRDefault="00000000" w:rsidRPr="00000000" w14:paraId="00000011">
      <w:pPr>
        <w:keepNext w:val="1"/>
        <w:keepLines w:val="1"/>
        <w:spacing w:after="0" w:before="240" w:line="259" w:lineRule="auto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Ambos publicadores tendrán el mismo funcionamiento, lo primero será soltar un publicador de contenidos en la página en la cual queremos que se vea.</w:t>
      </w:r>
    </w:p>
    <w:p w:rsidR="00000000" w:rsidDel="00000000" w:rsidP="00000000" w:rsidRDefault="00000000" w:rsidRPr="00000000" w14:paraId="00000012">
      <w:pPr>
        <w:keepNext w:val="1"/>
        <w:keepLines w:val="1"/>
        <w:spacing w:after="0" w:before="240" w:line="259" w:lineRule="auto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</w:rPr>
        <w:drawing>
          <wp:inline distB="114300" distT="114300" distL="114300" distR="114300">
            <wp:extent cx="6569400" cy="1701800"/>
            <wp:effectExtent b="12700" l="12700" r="12700" t="12700"/>
            <wp:docPr id="16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9400" cy="170180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1"/>
        <w:spacing w:after="0" w:before="240" w:line="259" w:lineRule="auto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El siguiente paso será configurar el publicador para que se muestre como alguna de las dos opciones anteriores.</w:t>
      </w:r>
    </w:p>
    <w:p w:rsidR="00000000" w:rsidDel="00000000" w:rsidP="00000000" w:rsidRDefault="00000000" w:rsidRPr="00000000" w14:paraId="00000014">
      <w:pPr>
        <w:keepNext w:val="1"/>
        <w:keepLines w:val="1"/>
        <w:spacing w:after="0" w:before="240" w:line="259" w:lineRule="auto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</w:rPr>
        <w:drawing>
          <wp:inline distB="114300" distT="114300" distL="114300" distR="114300">
            <wp:extent cx="6569400" cy="1016000"/>
            <wp:effectExtent b="12700" l="12700" r="12700" t="12700"/>
            <wp:docPr id="5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9400" cy="101600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center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</w:rPr>
        <w:drawing>
          <wp:inline distB="114300" distT="114300" distL="114300" distR="114300">
            <wp:extent cx="4175426" cy="2518978"/>
            <wp:effectExtent b="12700" l="12700" r="12700" t="12700"/>
            <wp:docPr id="3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75426" cy="2518978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1"/>
        <w:spacing w:after="0" w:before="240" w:line="259" w:lineRule="auto"/>
        <w:jc w:val="left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1"/>
        <w:spacing w:after="0" w:before="240" w:line="259" w:lineRule="auto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Luego, elegiremos la plantilla de visualización ADT-PUBLICADOR-CARPETAS para que se vea como en la primera opción o ADT-PUBLICADOR-CARPETAS-DESCRIPCION para que se vea como en la segunda</w:t>
      </w:r>
    </w:p>
    <w:p w:rsidR="00000000" w:rsidDel="00000000" w:rsidP="00000000" w:rsidRDefault="00000000" w:rsidRPr="00000000" w14:paraId="00000018">
      <w:pPr>
        <w:keepNext w:val="1"/>
        <w:keepLines w:val="1"/>
        <w:numPr>
          <w:ilvl w:val="0"/>
          <w:numId w:val="2"/>
        </w:numPr>
        <w:spacing w:after="0" w:before="240" w:line="259" w:lineRule="auto"/>
        <w:ind w:left="720" w:hanging="360"/>
        <w:jc w:val="left"/>
        <w:rPr>
          <w:color w:val="000000"/>
          <w:sz w:val="26"/>
          <w:szCs w:val="26"/>
          <w:u w:val="none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ADT-PUBLICADOR-CARPETAS</w:t>
      </w:r>
    </w:p>
    <w:p w:rsidR="00000000" w:rsidDel="00000000" w:rsidP="00000000" w:rsidRDefault="00000000" w:rsidRPr="00000000" w14:paraId="00000019">
      <w:pPr>
        <w:keepNext w:val="1"/>
        <w:keepLines w:val="1"/>
        <w:spacing w:after="0" w:before="240" w:line="259" w:lineRule="auto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</w:rPr>
        <w:drawing>
          <wp:inline distB="114300" distT="114300" distL="114300" distR="114300">
            <wp:extent cx="6569400" cy="698500"/>
            <wp:effectExtent b="12700" l="12700" r="12700" t="12700"/>
            <wp:docPr id="1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9400" cy="698500"/>
                    </a:xfrm>
                    <a:prstGeom prst="rect"/>
                    <a:ln w="12700">
                      <a:solidFill>
                        <a:srgbClr val="023E58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1"/>
        <w:numPr>
          <w:ilvl w:val="0"/>
          <w:numId w:val="2"/>
        </w:numPr>
        <w:spacing w:after="0" w:before="240" w:line="259" w:lineRule="auto"/>
        <w:ind w:left="720" w:hanging="360"/>
        <w:jc w:val="left"/>
        <w:rPr>
          <w:color w:val="000000"/>
          <w:sz w:val="26"/>
          <w:szCs w:val="26"/>
          <w:u w:val="none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ADT-PUBLICADOR-CARPETAS-DESCRIPCION</w:t>
      </w:r>
    </w:p>
    <w:p w:rsidR="00000000" w:rsidDel="00000000" w:rsidP="00000000" w:rsidRDefault="00000000" w:rsidRPr="00000000" w14:paraId="0000001B">
      <w:pPr>
        <w:keepNext w:val="1"/>
        <w:keepLines w:val="1"/>
        <w:spacing w:after="0" w:before="240" w:line="259" w:lineRule="auto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</w:rPr>
        <w:drawing>
          <wp:inline distB="114300" distT="114300" distL="114300" distR="114300">
            <wp:extent cx="6569400" cy="723900"/>
            <wp:effectExtent b="12700" l="12700" r="12700" t="12700"/>
            <wp:docPr id="2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9400" cy="72390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1"/>
        <w:spacing w:after="0" w:before="240" w:line="259" w:lineRule="auto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Para elegir qué carpeta o carpetas queremos mostrar tenemos 3 casuísticas y dependerá de qué contenido elijamos en la pestaña de configuración de Selección de contenidos </w:t>
      </w:r>
    </w:p>
    <w:p w:rsidR="00000000" w:rsidDel="00000000" w:rsidP="00000000" w:rsidRDefault="00000000" w:rsidRPr="00000000" w14:paraId="0000001D">
      <w:pPr>
        <w:keepNext w:val="1"/>
        <w:keepLines w:val="1"/>
        <w:spacing w:after="0" w:before="240" w:line="259" w:lineRule="auto"/>
        <w:jc w:val="center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</w:rPr>
        <w:drawing>
          <wp:inline distB="114300" distT="114300" distL="114300" distR="114300">
            <wp:extent cx="4898413" cy="3410532"/>
            <wp:effectExtent b="12700" l="12700" r="12700" t="12700"/>
            <wp:docPr id="12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8413" cy="3410532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1"/>
        <w:spacing w:after="0" w:before="240" w:line="259" w:lineRule="auto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En la siguiente pantalla el publicador se comportará de formas diferentes si escogemos:</w:t>
      </w:r>
    </w:p>
    <w:p w:rsidR="00000000" w:rsidDel="00000000" w:rsidP="00000000" w:rsidRDefault="00000000" w:rsidRPr="00000000" w14:paraId="0000001F">
      <w:pPr>
        <w:keepNext w:val="1"/>
        <w:keepLines w:val="1"/>
        <w:numPr>
          <w:ilvl w:val="0"/>
          <w:numId w:val="1"/>
        </w:numPr>
        <w:spacing w:after="0" w:before="240" w:line="259" w:lineRule="auto"/>
        <w:ind w:left="720" w:hanging="360"/>
        <w:jc w:val="lef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Una carpeta con archivos dentro</w:t>
      </w:r>
    </w:p>
    <w:p w:rsidR="00000000" w:rsidDel="00000000" w:rsidP="00000000" w:rsidRDefault="00000000" w:rsidRPr="00000000" w14:paraId="00000020">
      <w:pPr>
        <w:keepNext w:val="1"/>
        <w:keepLines w:val="1"/>
        <w:spacing w:after="0" w:before="240" w:line="259" w:lineRule="auto"/>
        <w:ind w:left="1440" w:firstLine="0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De este modo el publicador mostrará únicamente un desplegable con un botón, que si pulsamos mostrará los archivos que contiene esa carpeta.</w:t>
      </w:r>
    </w:p>
    <w:p w:rsidR="00000000" w:rsidDel="00000000" w:rsidP="00000000" w:rsidRDefault="00000000" w:rsidRPr="00000000" w14:paraId="00000021">
      <w:pPr>
        <w:keepNext w:val="1"/>
        <w:keepLines w:val="1"/>
        <w:spacing w:after="0" w:before="240" w:line="259" w:lineRule="auto"/>
        <w:ind w:left="1440" w:firstLine="0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Carpeta:</w:t>
      </w:r>
    </w:p>
    <w:p w:rsidR="00000000" w:rsidDel="00000000" w:rsidP="00000000" w:rsidRDefault="00000000" w:rsidRPr="00000000" w14:paraId="00000022">
      <w:pPr>
        <w:keepNext w:val="1"/>
        <w:keepLines w:val="1"/>
        <w:spacing w:after="0" w:before="240" w:line="259" w:lineRule="auto"/>
        <w:ind w:left="1440" w:firstLine="0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</w:rPr>
        <w:drawing>
          <wp:inline distB="114300" distT="114300" distL="114300" distR="114300">
            <wp:extent cx="5288954" cy="3089056"/>
            <wp:effectExtent b="12700" l="12700" r="12700" t="12700"/>
            <wp:docPr id="23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8954" cy="3089056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1"/>
        <w:spacing w:after="0" w:before="240" w:line="259" w:lineRule="auto"/>
        <w:ind w:left="1440" w:firstLine="0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Publicador:</w:t>
      </w:r>
    </w:p>
    <w:p w:rsidR="00000000" w:rsidDel="00000000" w:rsidP="00000000" w:rsidRDefault="00000000" w:rsidRPr="00000000" w14:paraId="00000024">
      <w:pPr>
        <w:keepNext w:val="1"/>
        <w:keepLines w:val="1"/>
        <w:spacing w:after="0" w:before="240" w:line="259" w:lineRule="auto"/>
        <w:ind w:left="1440" w:firstLine="0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</w:rPr>
        <w:drawing>
          <wp:inline distB="114300" distT="114300" distL="114300" distR="114300">
            <wp:extent cx="5249863" cy="1209751"/>
            <wp:effectExtent b="12700" l="12700" r="12700" t="12700"/>
            <wp:docPr id="1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9863" cy="1209751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1"/>
        <w:spacing w:after="0" w:before="240" w:line="259" w:lineRule="auto"/>
        <w:ind w:left="1440" w:firstLine="0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*IMPORTANTE: Si dentro de esta carpeta, a parte de archivos existe una subcarpeta, el publicador funcionará de la forma que se explica a continuación, ignorando los archivos.</w:t>
      </w:r>
    </w:p>
    <w:p w:rsidR="00000000" w:rsidDel="00000000" w:rsidP="00000000" w:rsidRDefault="00000000" w:rsidRPr="00000000" w14:paraId="00000026">
      <w:pPr>
        <w:keepNext w:val="1"/>
        <w:keepLines w:val="1"/>
        <w:numPr>
          <w:ilvl w:val="0"/>
          <w:numId w:val="1"/>
        </w:numPr>
        <w:spacing w:after="0" w:before="240" w:line="259" w:lineRule="auto"/>
        <w:ind w:left="720" w:hanging="360"/>
        <w:jc w:val="lef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Una carpeta con carpetas dentro</w:t>
      </w:r>
    </w:p>
    <w:p w:rsidR="00000000" w:rsidDel="00000000" w:rsidP="00000000" w:rsidRDefault="00000000" w:rsidRPr="00000000" w14:paraId="00000027">
      <w:pPr>
        <w:keepNext w:val="1"/>
        <w:keepLines w:val="1"/>
        <w:spacing w:after="0" w:before="240" w:line="259" w:lineRule="auto"/>
        <w:ind w:left="720" w:firstLine="0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Con esta casuística, el publicador mostrará desplegables con todas las subcarpetas (o una única subcarpeta) existentes en la carpeta seleccionada, y dentro de estos desplegables se mostrarán los archivos que hay dentro de las subcarpetas.</w:t>
      </w:r>
    </w:p>
    <w:p w:rsidR="00000000" w:rsidDel="00000000" w:rsidP="00000000" w:rsidRDefault="00000000" w:rsidRPr="00000000" w14:paraId="00000028">
      <w:pPr>
        <w:keepNext w:val="1"/>
        <w:keepLines w:val="1"/>
        <w:spacing w:after="0" w:before="240" w:line="259" w:lineRule="auto"/>
        <w:ind w:left="720" w:firstLine="0"/>
        <w:jc w:val="left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keepLines w:val="1"/>
        <w:spacing w:after="0" w:before="240" w:line="259" w:lineRule="auto"/>
        <w:ind w:left="720" w:firstLine="0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Carpeta:</w:t>
      </w:r>
    </w:p>
    <w:p w:rsidR="00000000" w:rsidDel="00000000" w:rsidP="00000000" w:rsidRDefault="00000000" w:rsidRPr="00000000" w14:paraId="0000002A">
      <w:pPr>
        <w:keepNext w:val="1"/>
        <w:keepLines w:val="1"/>
        <w:spacing w:after="0" w:before="240" w:line="259" w:lineRule="auto"/>
        <w:ind w:left="720" w:firstLine="0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</w:rPr>
        <w:drawing>
          <wp:inline distB="114300" distT="114300" distL="114300" distR="114300">
            <wp:extent cx="6056312" cy="1018163"/>
            <wp:effectExtent b="0" l="0" r="0" t="0"/>
            <wp:docPr id="6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56312" cy="10181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1"/>
        <w:spacing w:after="0" w:before="240" w:line="259" w:lineRule="auto"/>
        <w:ind w:left="720" w:firstLine="0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Publicador:</w:t>
      </w:r>
    </w:p>
    <w:p w:rsidR="00000000" w:rsidDel="00000000" w:rsidP="00000000" w:rsidRDefault="00000000" w:rsidRPr="00000000" w14:paraId="0000002C">
      <w:pPr>
        <w:keepNext w:val="1"/>
        <w:keepLines w:val="1"/>
        <w:spacing w:after="0" w:before="240" w:line="259" w:lineRule="auto"/>
        <w:ind w:left="720" w:firstLine="0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</w:rPr>
        <w:drawing>
          <wp:inline distB="114300" distT="114300" distL="114300" distR="114300">
            <wp:extent cx="6064195" cy="3056829"/>
            <wp:effectExtent b="12700" l="12700" r="12700" t="12700"/>
            <wp:docPr id="18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4195" cy="3056829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1"/>
        <w:spacing w:after="0" w:before="240" w:line="259" w:lineRule="auto"/>
        <w:ind w:left="720" w:firstLine="0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*IMPORTANTE: Si se elimina alguna subcarpeta de las que se muestran en el publicador, se deberá eliminar también de la papelera de reciclaje.</w:t>
      </w:r>
    </w:p>
    <w:p w:rsidR="00000000" w:rsidDel="00000000" w:rsidP="00000000" w:rsidRDefault="00000000" w:rsidRPr="00000000" w14:paraId="0000002E">
      <w:pPr>
        <w:keepNext w:val="1"/>
        <w:keepLines w:val="1"/>
        <w:spacing w:after="0" w:before="240" w:line="259" w:lineRule="auto"/>
        <w:ind w:left="720" w:firstLine="0"/>
        <w:jc w:val="left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keepLines w:val="1"/>
        <w:numPr>
          <w:ilvl w:val="0"/>
          <w:numId w:val="1"/>
        </w:numPr>
        <w:spacing w:after="0" w:before="240" w:line="259" w:lineRule="auto"/>
        <w:ind w:left="720" w:hanging="360"/>
        <w:jc w:val="lef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Varias carpetas</w:t>
      </w:r>
    </w:p>
    <w:p w:rsidR="00000000" w:rsidDel="00000000" w:rsidP="00000000" w:rsidRDefault="00000000" w:rsidRPr="00000000" w14:paraId="00000030">
      <w:pPr>
        <w:keepNext w:val="1"/>
        <w:keepLines w:val="1"/>
        <w:spacing w:after="0" w:before="240" w:line="259" w:lineRule="auto"/>
        <w:ind w:left="720" w:firstLine="0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Des esta forma podrás seleccionar varias carpetas que contengan archivos dentro y alterar el orden en el que quieres que se vean estas carpetas</w:t>
      </w:r>
    </w:p>
    <w:p w:rsidR="00000000" w:rsidDel="00000000" w:rsidP="00000000" w:rsidRDefault="00000000" w:rsidRPr="00000000" w14:paraId="00000031">
      <w:pPr>
        <w:keepNext w:val="1"/>
        <w:keepLines w:val="1"/>
        <w:spacing w:after="0" w:before="240" w:line="259" w:lineRule="auto"/>
        <w:ind w:left="720" w:firstLine="0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Carpetas:</w:t>
      </w:r>
    </w:p>
    <w:p w:rsidR="00000000" w:rsidDel="00000000" w:rsidP="00000000" w:rsidRDefault="00000000" w:rsidRPr="00000000" w14:paraId="00000032">
      <w:pPr>
        <w:keepNext w:val="1"/>
        <w:keepLines w:val="1"/>
        <w:spacing w:after="0" w:before="240" w:line="259" w:lineRule="auto"/>
        <w:ind w:left="0" w:firstLine="0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</w:rPr>
        <w:drawing>
          <wp:inline distB="114300" distT="114300" distL="114300" distR="114300">
            <wp:extent cx="6180137" cy="976283"/>
            <wp:effectExtent b="12700" l="12700" r="12700" t="1270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80137" cy="976283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keepLines w:val="1"/>
        <w:spacing w:after="0" w:before="240" w:line="259" w:lineRule="auto"/>
        <w:ind w:left="0" w:firstLine="0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Publicador:</w:t>
      </w:r>
    </w:p>
    <w:p w:rsidR="00000000" w:rsidDel="00000000" w:rsidP="00000000" w:rsidRDefault="00000000" w:rsidRPr="00000000" w14:paraId="00000034">
      <w:pPr>
        <w:keepNext w:val="1"/>
        <w:keepLines w:val="1"/>
        <w:spacing w:after="0" w:before="240" w:line="259" w:lineRule="auto"/>
        <w:ind w:left="720" w:firstLine="720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*En la configuración</w:t>
      </w:r>
    </w:p>
    <w:p w:rsidR="00000000" w:rsidDel="00000000" w:rsidP="00000000" w:rsidRDefault="00000000" w:rsidRPr="00000000" w14:paraId="00000035">
      <w:pPr>
        <w:keepNext w:val="1"/>
        <w:keepLines w:val="1"/>
        <w:spacing w:after="0" w:before="240" w:line="259" w:lineRule="auto"/>
        <w:ind w:left="0" w:firstLine="0"/>
        <w:jc w:val="center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</w:rPr>
        <w:drawing>
          <wp:inline distB="114300" distT="114300" distL="114300" distR="114300">
            <wp:extent cx="5440363" cy="1502253"/>
            <wp:effectExtent b="12700" l="12700" r="12700" t="12700"/>
            <wp:docPr id="19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0363" cy="1502253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1"/>
        <w:keepLines w:val="1"/>
        <w:spacing w:after="0" w:before="240" w:line="259" w:lineRule="auto"/>
        <w:ind w:left="0" w:firstLine="0"/>
        <w:jc w:val="center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</w:rPr>
        <w:drawing>
          <wp:inline distB="114300" distT="114300" distL="114300" distR="114300">
            <wp:extent cx="5745163" cy="2229196"/>
            <wp:effectExtent b="12700" l="12700" r="12700" t="12700"/>
            <wp:docPr id="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45163" cy="2229196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1"/>
        <w:spacing w:after="0" w:before="240" w:line="259" w:lineRule="auto"/>
        <w:ind w:left="0" w:firstLine="0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*Con las flechas marcadas en la imagen podrás alterar el orden en el que aparecen las carpetas</w:t>
      </w:r>
    </w:p>
    <w:p w:rsidR="00000000" w:rsidDel="00000000" w:rsidP="00000000" w:rsidRDefault="00000000" w:rsidRPr="00000000" w14:paraId="00000038">
      <w:pPr>
        <w:keepNext w:val="1"/>
        <w:keepLines w:val="1"/>
        <w:spacing w:after="0" w:before="240" w:line="259" w:lineRule="auto"/>
        <w:ind w:left="0" w:firstLine="0"/>
        <w:jc w:val="left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Publicador:</w:t>
      </w:r>
    </w:p>
    <w:p w:rsidR="00000000" w:rsidDel="00000000" w:rsidP="00000000" w:rsidRDefault="00000000" w:rsidRPr="00000000" w14:paraId="00000039">
      <w:pPr>
        <w:keepNext w:val="1"/>
        <w:keepLines w:val="1"/>
        <w:spacing w:after="0" w:before="240" w:line="259" w:lineRule="auto"/>
        <w:ind w:left="0" w:firstLine="0"/>
        <w:jc w:val="left"/>
        <w:rPr>
          <w:sz w:val="28"/>
          <w:szCs w:val="28"/>
        </w:rPr>
      </w:pPr>
      <w:r w:rsidDel="00000000" w:rsidR="00000000" w:rsidRPr="00000000">
        <w:rPr>
          <w:color w:val="000000"/>
          <w:sz w:val="26"/>
          <w:szCs w:val="26"/>
        </w:rPr>
        <w:drawing>
          <wp:inline distB="114300" distT="114300" distL="114300" distR="114300">
            <wp:extent cx="6564313" cy="3190985"/>
            <wp:effectExtent b="12700" l="12700" r="12700" t="12700"/>
            <wp:docPr id="1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4313" cy="3190985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0" w:top="1580" w:left="980" w:right="58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-709" w:right="-142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b2b2b2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b2b2b2"/>
        <w:sz w:val="18"/>
        <w:szCs w:val="18"/>
        <w:u w:val="none"/>
        <w:shd w:fill="auto" w:val="clear"/>
        <w:vertAlign w:val="baseline"/>
        <w:rtl w:val="0"/>
      </w:rPr>
      <w:t xml:space="preserve">Este documento contiene información y material propiedad de Tecnologías PLEXUS, S.L. Los materiales, ideas y conceptos contenidos en esta propuesta serán utilizados exclusivamente para evaluar las capacidades de la empresa y no deberán ser divulgados fuera de su organización o utilizados con propósitos distintos a los mencionados. No está permitida su reproducción total o parcial, ni su uso con otras organizaciones para ningún otro propósito, excepto autorización previa por escrito.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8"/>
        <w:szCs w:val="28"/>
      </w:rPr>
    </w:pPr>
    <w:r w:rsidDel="00000000" w:rsidR="00000000" w:rsidRPr="00000000">
      <w:rPr>
        <w:rtl w:val="0"/>
      </w:rPr>
    </w:r>
  </w:p>
  <w:tbl>
    <w:tblPr>
      <w:tblStyle w:val="Table1"/>
      <w:tblW w:w="10210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963"/>
      <w:gridCol w:w="5247"/>
      <w:tblGridChange w:id="0">
        <w:tblGrid>
          <w:gridCol w:w="4963"/>
          <w:gridCol w:w="5247"/>
        </w:tblGrid>
      </w:tblGridChange>
    </w:tblGrid>
    <w:tr>
      <w:trPr>
        <w:cantSplit w:val="0"/>
        <w:tblHeader w:val="0"/>
      </w:trPr>
      <w:tc>
        <w:tcPr>
          <w:tcMar>
            <w:left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3B">
          <w:pPr>
            <w:rPr/>
          </w:pPr>
          <w:r w:rsidDel="00000000" w:rsidR="00000000" w:rsidRPr="00000000">
            <w:rPr/>
            <w:drawing>
              <wp:inline distB="0" distT="0" distL="0" distR="0">
                <wp:extent cx="2063538" cy="714823"/>
                <wp:effectExtent b="0" l="0" r="0" t="0"/>
                <wp:docPr id="17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538" cy="71482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left w:w="0.0" w:type="dxa"/>
            <w:right w:w="0.0" w:type="dxa"/>
          </w:tcMar>
          <w:vAlign w:val="bottom"/>
        </w:tcPr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23e58"/>
              <w:sz w:val="19"/>
              <w:szCs w:val="19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23e58"/>
              <w:sz w:val="19"/>
              <w:szCs w:val="19"/>
              <w:u w:val="none"/>
              <w:shd w:fill="auto" w:val="clear"/>
              <w:vertAlign w:val="baseline"/>
            </w:rPr>
            <w:drawing>
              <wp:inline distB="0" distT="0" distL="0" distR="0">
                <wp:extent cx="1259233" cy="330352"/>
                <wp:effectExtent b="0" l="0" r="0" t="0"/>
                <wp:docPr id="21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"/>
                        <a:srcRect b="11765" l="0" r="0" t="117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233" cy="33035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D">
    <w:pPr>
      <w:spacing w:after="0" w:before="0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23e58"/>
        <w:sz w:val="19"/>
        <w:szCs w:val="19"/>
        <w:lang w:val="es-ES"/>
      </w:rPr>
    </w:rPrDefault>
    <w:pPrDefault>
      <w:pPr>
        <w:spacing w:after="120" w:before="12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360" w:lineRule="auto"/>
      <w:ind w:left="0" w:firstLine="0"/>
      <w:jc w:val="left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left="0" w:firstLine="0"/>
      <w:jc w:val="left"/>
    </w:pPr>
    <w:rPr>
      <w:color w:val="0090b8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rFonts w:ascii="Calibri" w:cs="Calibri" w:eastAsia="Calibri" w:hAnsi="Calibri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006b89"/>
    </w:rPr>
  </w:style>
  <w:style w:type="paragraph" w:styleId="Heading5">
    <w:name w:val="heading 5"/>
    <w:basedOn w:val="Normal"/>
    <w:next w:val="Normal"/>
    <w:pPr>
      <w:keepNext w:val="1"/>
      <w:keepLines w:val="0"/>
      <w:spacing w:after="0" w:before="120" w:lineRule="auto"/>
      <w:ind w:left="0" w:firstLine="0"/>
      <w:jc w:val="left"/>
    </w:pPr>
    <w:rPr>
      <w:rFonts w:ascii="Calibri" w:cs="Calibri" w:eastAsia="Calibri" w:hAnsi="Calibri"/>
      <w:i w:val="0"/>
      <w:color w:val="023e58"/>
      <w:sz w:val="23"/>
      <w:szCs w:val="23"/>
    </w:rPr>
  </w:style>
  <w:style w:type="paragraph" w:styleId="Heading6">
    <w:name w:val="heading 6"/>
    <w:basedOn w:val="Normal"/>
    <w:next w:val="Normal"/>
    <w:pPr>
      <w:spacing w:after="60" w:lineRule="auto"/>
      <w:jc w:val="left"/>
    </w:pPr>
    <w:rPr>
      <w:color w:val="4f81bd"/>
      <w:sz w:val="28"/>
      <w:szCs w:val="28"/>
    </w:rPr>
  </w:style>
  <w:style w:type="paragraph" w:styleId="Title">
    <w:name w:val="Title"/>
    <w:basedOn w:val="Normal"/>
    <w:next w:val="Normal"/>
    <w:pPr>
      <w:widowControl w:val="0"/>
      <w:spacing w:after="0" w:before="374" w:lineRule="auto"/>
      <w:ind w:left="100" w:right="3164"/>
    </w:pPr>
    <w:rPr>
      <w:rFonts w:ascii="Trebuchet MS" w:cs="Trebuchet MS" w:eastAsia="Trebuchet MS" w:hAnsi="Trebuchet MS"/>
      <w:color w:val="00000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color w:val="44546a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3f5f9" w:val="clear"/>
    </w:tcPr>
  </w:style>
</w:styles>
</file>

<file path=word/_rels/document.xml.rels><?xml version="1.0" encoding="UTF-8" standalone="no"?>
<Relationships xmlns="http://schemas.openxmlformats.org/package/2006/relationships">
<Relationship Id="rId1" Target="theme/theme1.xml" Type="http://schemas.openxmlformats.org/officeDocument/2006/relationships/theme"/>
<Relationship Id="rId10" Target="media/image21.png" Type="http://schemas.openxmlformats.org/officeDocument/2006/relationships/image"/>
<Relationship Id="rId11" Target="media/image22.png" Type="http://schemas.openxmlformats.org/officeDocument/2006/relationships/image"/>
<Relationship Id="rId12" Target="media/image20.png" Type="http://schemas.openxmlformats.org/officeDocument/2006/relationships/image"/>
<Relationship Id="rId13" Target="media/image3.png" Type="http://schemas.openxmlformats.org/officeDocument/2006/relationships/image"/>
<Relationship Id="rId14" Target="media/image7.png" Type="http://schemas.openxmlformats.org/officeDocument/2006/relationships/image"/>
<Relationship Id="rId15" Target="media/image8.png" Type="http://schemas.openxmlformats.org/officeDocument/2006/relationships/image"/>
<Relationship Id="rId16" Target="media/image19.png" Type="http://schemas.openxmlformats.org/officeDocument/2006/relationships/image"/>
<Relationship Id="rId17" Target="media/image12.png" Type="http://schemas.openxmlformats.org/officeDocument/2006/relationships/image"/>
<Relationship Id="rId18" Target="media/image14.png" Type="http://schemas.openxmlformats.org/officeDocument/2006/relationships/image"/>
<Relationship Id="rId19" Target="media/image6.png" Type="http://schemas.openxmlformats.org/officeDocument/2006/relationships/image"/>
<Relationship Id="rId2" Target="settings.xml" Type="http://schemas.openxmlformats.org/officeDocument/2006/relationships/settings"/>
<Relationship Id="rId20" Target="media/image5.png" Type="http://schemas.openxmlformats.org/officeDocument/2006/relationships/image"/>
<Relationship Id="rId21" Target="media/image18.png" Type="http://schemas.openxmlformats.org/officeDocument/2006/relationships/image"/>
<Relationship Id="rId22" Target="media/image15.png" Type="http://schemas.openxmlformats.org/officeDocument/2006/relationships/image"/>
<Relationship Id="rId23" Target="media/image2.png" Type="http://schemas.openxmlformats.org/officeDocument/2006/relationships/image"/>
<Relationship Id="rId24" Target="media/image13.png" Type="http://schemas.openxmlformats.org/officeDocument/2006/relationships/image"/>
<Relationship Id="rId25" Target="media/image9.png" Type="http://schemas.openxmlformats.org/officeDocument/2006/relationships/image"/>
<Relationship Id="rId26" Target="media/image1.png" Type="http://schemas.openxmlformats.org/officeDocument/2006/relationships/image"/>
<Relationship Id="rId27" Target="media/image10.png" Type="http://schemas.openxmlformats.org/officeDocument/2006/relationships/image"/>
<Relationship Id="rId28" Target="media/image17.png" Type="http://schemas.openxmlformats.org/officeDocument/2006/relationships/image"/>
<Relationship Id="rId29" Target="media/image4.png" Type="http://schemas.openxmlformats.org/officeDocument/2006/relationships/image"/>
<Relationship Id="rId3" Target="fontTable.xml" Type="http://schemas.openxmlformats.org/officeDocument/2006/relationships/fontTable"/>
<Relationship Id="rId4" Target="numbering.xml" Type="http://schemas.openxmlformats.org/officeDocument/2006/relationships/numbering"/>
<Relationship Id="rId5" Target="styles.xml" Type="http://schemas.openxmlformats.org/officeDocument/2006/relationships/styles"/>
<Relationship Id="rId6" Target="header1.xml" Type="http://schemas.openxmlformats.org/officeDocument/2006/relationships/header"/>
<Relationship Id="rId7" Target="footer2.xml" Type="http://schemas.openxmlformats.org/officeDocument/2006/relationships/footer"/>
<Relationship Id="rId8" Target="footer1.xml" Type="http://schemas.openxmlformats.org/officeDocument/2006/relationships/footer"/>
<Relationship Id="rId9" Target="media/image11.png" Type="http://schemas.openxmlformats.org/officeDocument/2006/relationships/image"/>
</Relationships>

</file>

<file path=word/_rels/header1.xml.rels><?xml version="1.0" encoding="UTF-8" standalone="no"?>
<Relationships xmlns="http://schemas.openxmlformats.org/package/2006/relationships">
<Relationship Id="rId1" Target="media/image20.png" Type="http://schemas.openxmlformats.org/officeDocument/2006/relationships/image"/>
<Relationship Id="rId2" Target="media/image16.png" Type="http://schemas.openxmlformats.org/officeDocument/2006/relationships/imag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>
  <Company/>
  <Template/>
  <Manager/>
  <TotalTime>0</TotalTime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ISCIII (Instituto de salud Carlos III)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my_tag_name">
    <vt:lpwstr>MetaOlvido</vt:lpwstr>
  </property>
</Properties>
</file>